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7C0D" w:rsidP="00FD7C0D">
      <w:pPr>
        <w:pStyle w:val="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 </w:t>
      </w:r>
    </w:p>
    <w:p w:rsidR="00FD7C0D" w:rsidP="00FD7C0D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FD7C0D" w:rsidP="00FD7C0D">
      <w:pPr>
        <w:rPr>
          <w:sz w:val="28"/>
          <w:szCs w:val="28"/>
        </w:rPr>
      </w:pPr>
    </w:p>
    <w:p w:rsidR="00FD7C0D" w:rsidP="00FD7C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6 апреля 2026 года </w:t>
      </w:r>
    </w:p>
    <w:p w:rsidR="00FD7C0D" w:rsidP="00FD7C0D">
      <w:pPr>
        <w:jc w:val="both"/>
        <w:rPr>
          <w:sz w:val="28"/>
          <w:szCs w:val="28"/>
        </w:rPr>
      </w:pPr>
    </w:p>
    <w:p w:rsidR="00FD7C0D" w:rsidP="00FD7C0D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О.А, </w:t>
      </w:r>
    </w:p>
    <w:p w:rsidR="00FD7C0D" w:rsidP="00FD7C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5-260-2802/2026, возбужденное по ч.1 </w:t>
      </w:r>
      <w:r>
        <w:rPr>
          <w:sz w:val="28"/>
          <w:szCs w:val="28"/>
        </w:rPr>
        <w:t>ст.12.34  КоАП</w:t>
      </w:r>
      <w:r>
        <w:rPr>
          <w:sz w:val="28"/>
          <w:szCs w:val="28"/>
        </w:rPr>
        <w:t xml:space="preserve"> РФ в отношении  юридического лица – Департамента городского хозяйства администрации города Ханты-Мансийска, </w:t>
      </w:r>
      <w:r w:rsidR="00F64227">
        <w:rPr>
          <w:b/>
          <w:color w:val="000000"/>
          <w:sz w:val="26"/>
          <w:szCs w:val="26"/>
        </w:rPr>
        <w:t>***</w:t>
      </w:r>
      <w:r>
        <w:rPr>
          <w:sz w:val="28"/>
          <w:szCs w:val="28"/>
        </w:rPr>
        <w:t>,</w:t>
      </w:r>
    </w:p>
    <w:p w:rsidR="00FD7C0D" w:rsidP="00FD7C0D">
      <w:pPr>
        <w:tabs>
          <w:tab w:val="left" w:pos="1620"/>
          <w:tab w:val="left" w:pos="2700"/>
        </w:tabs>
        <w:ind w:firstLine="708"/>
        <w:jc w:val="center"/>
        <w:rPr>
          <w:sz w:val="28"/>
          <w:szCs w:val="28"/>
        </w:rPr>
      </w:pPr>
    </w:p>
    <w:p w:rsidR="00FD7C0D" w:rsidP="00FD7C0D">
      <w:pPr>
        <w:tabs>
          <w:tab w:val="left" w:pos="1620"/>
          <w:tab w:val="left" w:pos="2700"/>
        </w:tabs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FD7C0D" w:rsidP="00FD7C0D">
      <w:pPr>
        <w:tabs>
          <w:tab w:val="left" w:pos="1620"/>
          <w:tab w:val="left" w:pos="2700"/>
        </w:tabs>
        <w:ind w:firstLine="708"/>
        <w:jc w:val="center"/>
        <w:rPr>
          <w:sz w:val="28"/>
          <w:szCs w:val="28"/>
        </w:rPr>
      </w:pPr>
    </w:p>
    <w:p w:rsidR="00FD7C0D" w:rsidP="00FD7C0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Департамент городского хозяйства администрации города Ханты-Мансийска, являющийся ответственным предприятием за организацию дорожной деятельности в отношении автомобильных дорог местного значения в границах города Ханты-Мансийска, осуществляющий свою деятельность по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в нарушение ст.12 Федерального закона от 10 декабря 1995 г. №196-ФЗ «О безопасности дорожного движения», п.5.1.6 ГОСТ Р 52289-2019, п.13 «Основных положений по допуску транспортных средств к эксплуатации обязанности должностных лиц по обеспечению безопасности дорожного движения», не выполнило требования по обеспечению безопасности дорожного движения при содержании улиц города Ханты-Мансийска, выявленных в ходе постоянного рейда 16 марта 2026 года в 13 часов 55 минут, а именно: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отсутствует;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отсутствует;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отсутствует;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отсутствует;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отсутствует;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отсутствует;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отсутствует;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на дороге с двусторонним движением с двумя и более полосами для движения в данном направлении, дублирующий знак 5.19.1 (Пешеходный переход» на проезжей </w:t>
      </w:r>
      <w:r>
        <w:rPr>
          <w:color w:val="000000"/>
          <w:sz w:val="28"/>
          <w:szCs w:val="28"/>
        </w:rPr>
        <w:t xml:space="preserve">части отсутствует;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отсутствует;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>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отсутствует;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 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отсутствует;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 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отсутствует;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отсутствует;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отсутствует;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отсутствует;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отсутствует;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>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отсутствует;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отсутствует;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 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отсутствует;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отсутствует;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отсутствует; </w:t>
      </w:r>
      <w:r w:rsidR="00F64227">
        <w:rPr>
          <w:b/>
          <w:color w:val="000000"/>
          <w:sz w:val="26"/>
          <w:szCs w:val="26"/>
        </w:rPr>
        <w:t xml:space="preserve">*** </w:t>
      </w:r>
      <w:r>
        <w:rPr>
          <w:color w:val="000000"/>
          <w:sz w:val="28"/>
          <w:szCs w:val="28"/>
        </w:rPr>
        <w:t xml:space="preserve">на дороге с двусторонним движением с двумя и более полосами для движения в данном направлении, дублирующий знак 5.19.1 (Пешеходный переход» на проезжей </w:t>
      </w:r>
      <w:r>
        <w:rPr>
          <w:color w:val="000000"/>
          <w:sz w:val="28"/>
          <w:szCs w:val="28"/>
        </w:rPr>
        <w:t>части отсутствует</w:t>
      </w:r>
      <w:r w:rsidR="00B21A91">
        <w:rPr>
          <w:color w:val="000000"/>
          <w:sz w:val="28"/>
          <w:szCs w:val="28"/>
        </w:rPr>
        <w:t xml:space="preserve">; пересечение </w:t>
      </w:r>
      <w:r w:rsidR="00F64227">
        <w:rPr>
          <w:b/>
          <w:color w:val="000000"/>
          <w:sz w:val="26"/>
          <w:szCs w:val="26"/>
        </w:rPr>
        <w:t xml:space="preserve">*** </w:t>
      </w:r>
      <w:r w:rsidR="00B21A91">
        <w:rPr>
          <w:color w:val="000000"/>
          <w:sz w:val="28"/>
          <w:szCs w:val="28"/>
        </w:rPr>
        <w:t>на дороге с двусторонним движением с двумя и более полосами для движения в данном направлении, дублирующий знак 5.19.1 (Пешеходный переход» на проезжей части отсутствует.</w:t>
      </w:r>
    </w:p>
    <w:p w:rsidR="00FD7C0D" w:rsidP="00FD7C0D">
      <w:pPr>
        <w:ind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В судебном заседании представитель </w:t>
      </w:r>
      <w:r>
        <w:rPr>
          <w:color w:val="FF0000"/>
          <w:sz w:val="28"/>
          <w:szCs w:val="28"/>
        </w:rPr>
        <w:t>юр.лица</w:t>
      </w:r>
      <w:r>
        <w:rPr>
          <w:color w:val="FF0000"/>
          <w:sz w:val="28"/>
          <w:szCs w:val="28"/>
        </w:rPr>
        <w:t xml:space="preserve"> вину в совершении правонарушения не признал, поддержал письменные пояснения.</w:t>
      </w:r>
    </w:p>
    <w:p w:rsidR="00FD7C0D" w:rsidP="00FD7C0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Изучив письменные материалы дела суд пришел к следующему.</w:t>
      </w:r>
      <w:r>
        <w:rPr>
          <w:color w:val="000000"/>
          <w:sz w:val="28"/>
          <w:szCs w:val="28"/>
        </w:rPr>
        <w:tab/>
      </w:r>
    </w:p>
    <w:p w:rsidR="00FD7C0D" w:rsidP="00FD7C0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Объективную сторону административного правонарушения, предусмотренного ч.1 ст.12.34 КоАП РФ составляют действия (бездействие) юридических и физических лиц, выразившиеся в несоблюдении (нарушении) требований по обеспечению безопасности дорожного движения при ремонте и содержании дорог и иных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 случаях, если пользование такими участками угрожает безопасности дорожного движения.</w:t>
      </w:r>
    </w:p>
    <w:p w:rsidR="00FD7C0D" w:rsidP="00FD7C0D">
      <w:pPr>
        <w:ind w:firstLine="672"/>
        <w:jc w:val="both"/>
        <w:rPr>
          <w:sz w:val="28"/>
          <w:szCs w:val="28"/>
        </w:rPr>
      </w:pPr>
      <w:r>
        <w:rPr>
          <w:sz w:val="28"/>
          <w:szCs w:val="28"/>
        </w:rPr>
        <w:t>Статьей 4 Федерального закона от 15 ноября 1995 года N 196-ФЗ «О безопасности дорожного движения» установлено, что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FD7C0D" w:rsidP="00FD7C0D">
      <w:pPr>
        <w:ind w:firstLine="672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Совета Министров - Правительства Российской Федерации от 23 октября 1993 года N 1090 «О правилах дорожного движения» утверждены Основные положения по допуску транспортных средств к эксплуатации и обязанностям должностных лиц по обеспечению безопасности дорожного движения (далее - Основные положения).</w:t>
      </w:r>
    </w:p>
    <w:p w:rsidR="00FD7C0D" w:rsidP="00FD7C0D">
      <w:pPr>
        <w:widowControl w:val="0"/>
        <w:shd w:val="clear" w:color="auto" w:fill="FFFFFF"/>
        <w:autoSpaceDE w:val="0"/>
        <w:autoSpaceDN w:val="0"/>
        <w:adjustRightInd w:val="0"/>
        <w:ind w:firstLine="67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Согласно требованиям п. 13 «Основных положений по допуску транспортных средств к </w:t>
      </w:r>
      <w:r>
        <w:rPr>
          <w:spacing w:val="-3"/>
          <w:sz w:val="28"/>
          <w:szCs w:val="28"/>
        </w:rPr>
        <w:t xml:space="preserve">эксплуатации и обязанности должностных лиц по обеспечению безопасности дорожного» </w:t>
      </w:r>
      <w:r>
        <w:rPr>
          <w:sz w:val="28"/>
          <w:szCs w:val="28"/>
        </w:rPr>
        <w:t xml:space="preserve">Правил дорожного движения Российской Федерации: должностные и иные лица, ответственные за состояние дорог, железнодорожных переездов и других дорожных </w:t>
      </w:r>
      <w:r>
        <w:rPr>
          <w:spacing w:val="-5"/>
          <w:sz w:val="28"/>
          <w:szCs w:val="28"/>
        </w:rPr>
        <w:t xml:space="preserve">сооружений обязаны, содержать дороги, железнодорожные переезды и другие сооружения в </w:t>
      </w:r>
      <w:r>
        <w:rPr>
          <w:sz w:val="28"/>
          <w:szCs w:val="28"/>
        </w:rPr>
        <w:t>безопасном для движения состоянии в соответствии с требованиями стандартов, норм и правил;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средств, информационных щитов и средств массовой информации; 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 w:rsidR="00FD7C0D" w:rsidP="00FD7C0D">
      <w:pPr>
        <w:widowControl w:val="0"/>
        <w:ind w:firstLine="68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соответствии со статьей 18 Федерального закона от 08.11.2007 года №257-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ремонт автомобильных дорог осуществляется в </w:t>
      </w:r>
      <w:r>
        <w:rPr>
          <w:color w:val="000000"/>
          <w:sz w:val="28"/>
          <w:szCs w:val="28"/>
          <w:lang w:bidi="ru-RU"/>
        </w:rPr>
        <w:t>соответствии с требованиями технических регламентов в целях -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FD7C0D" w:rsidP="00FD7C0D">
      <w:pPr>
        <w:widowControl w:val="0"/>
        <w:ind w:firstLine="68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соответствии с частью 1 статьи 12 Федерального закона от 10.12.1995 года № 196-ФЗ «О безопасности дорожного движения» ремонт и содержание дорог на территории Российской Федерации должны обеспечивать безопасность дорожного движения. На основании части 2 статьи 12 вышеуказанного Федерального закона обязанность по обеспечению соответствия состояния дорог при их содержании установленным правилам, стандартам, техническим нормам и другим нормативным документам возлагается на лица, осуществляющие содержание автомобильных дорог.</w:t>
      </w:r>
    </w:p>
    <w:p w:rsidR="00FD7C0D" w:rsidP="00FD7C0D">
      <w:pPr>
        <w:widowControl w:val="0"/>
        <w:ind w:firstLine="7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соответствии со статьей 17 Федерального закона от 08.11.2007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</w:r>
      <w:r>
        <w:rPr>
          <w:iCs/>
          <w:color w:val="000000"/>
          <w:sz w:val="28"/>
          <w:szCs w:val="28"/>
          <w:lang w:bidi="ru-RU"/>
        </w:rPr>
        <w:t>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</w:t>
      </w:r>
      <w:r>
        <w:rPr>
          <w:color w:val="000000"/>
          <w:sz w:val="28"/>
          <w:szCs w:val="28"/>
          <w:lang w:bidi="ru-RU"/>
        </w:rPr>
        <w:t>, а также обеспечения сохранности автомобильных дорог.</w:t>
      </w:r>
    </w:p>
    <w:p w:rsidR="00FD7C0D" w:rsidP="00FD7C0D">
      <w:pPr>
        <w:widowControl w:val="0"/>
        <w:ind w:left="80" w:firstLine="6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силу статьи 3 Федерального закона от 10.12.1995 года №196-ФЗ «О безопасности дорожного движения» основными принципами обеспечения безопасности дорожного движения являются приоритет жизни и здоровья граждан, участвующих в дорожном движении, над экономическими результатами хозяйственной деятельности; соблюдение интересов граждан, общества и государства при обеспечении безопасности дорожного движения.</w:t>
      </w:r>
    </w:p>
    <w:p w:rsidR="00FD7C0D" w:rsidP="00FD7C0D">
      <w:pPr>
        <w:widowControl w:val="0"/>
        <w:ind w:left="80" w:firstLine="6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Пунктом 2 ст.12 Федерального закона от 10.12.1995 года № 196-ФЗ «О безопасности дорожного движения» определено, что обязанность по обеспечению соответствия состоянии дорог при их содержании установленным регламентам и другим нормативным документам возлагается на лиц, осуществляющих содержание автомобильных дорог.</w:t>
      </w:r>
    </w:p>
    <w:p w:rsidR="006B16B8" w:rsidP="006B16B8">
      <w:pPr>
        <w:widowControl w:val="0"/>
        <w:ind w:left="80" w:firstLine="6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Распоряжением Правительства Российской Федерации от 04.11.2017 №2438-р утвержден перечень документов по стандартизации, обязательное применение которых обеспечивает безопасность дорожного движения при его организации на территории РФ. В данный перечень ГОСТ Р 52289-2019, ГОСТ Р 50597 внесен в полном объеме.</w:t>
      </w:r>
    </w:p>
    <w:p w:rsidR="006B16B8" w:rsidP="006B16B8">
      <w:pPr>
        <w:widowControl w:val="0"/>
        <w:ind w:left="60" w:right="20" w:firstLine="7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Требования к эксплуатационному состоянию, допустимому по условиям обеспечения безопасности дорожного движения определен Государственным стандартом ГОСТ Р 50597- 2017 «Автомобильные дороги и улицы. Требования к эксплуатационному состоянию, допустимому по условиям безопасности дорожного движения».</w:t>
      </w:r>
    </w:p>
    <w:p w:rsidR="006B16B8" w:rsidP="006B16B8">
      <w:pPr>
        <w:widowControl w:val="0"/>
        <w:ind w:left="60" w:right="20" w:firstLine="7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Данный стандарт устанавливает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дорог, улиц и дорог городов и других населенных пунктов, а также требования к эксплуатационному </w:t>
      </w:r>
      <w:r>
        <w:rPr>
          <w:color w:val="000000"/>
          <w:sz w:val="28"/>
          <w:szCs w:val="28"/>
          <w:lang w:bidi="ru-RU"/>
        </w:rPr>
        <w:t>состоянию технических средств организации дорожного движения.</w:t>
      </w:r>
    </w:p>
    <w:p w:rsidR="006B16B8" w:rsidP="006B16B8">
      <w:pPr>
        <w:widowControl w:val="0"/>
        <w:ind w:left="60" w:right="20" w:firstLine="7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Все требования стандарта являются обязательными и направлены на обеспечение безопасности дорожного движения, сохранение жизни, здоровья и имущества населения, охрану окружающей среды.</w:t>
      </w:r>
    </w:p>
    <w:p w:rsidR="00FD7C0D" w:rsidRPr="006B16B8" w:rsidP="00FD7C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Согласно п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5.1.6 </w:t>
      </w:r>
      <w:r>
        <w:rPr>
          <w:sz w:val="28"/>
          <w:szCs w:val="28"/>
        </w:rPr>
        <w:t xml:space="preserve">ГОСТ Р </w:t>
      </w:r>
      <w:r>
        <w:rPr>
          <w:sz w:val="28"/>
          <w:szCs w:val="28"/>
        </w:rPr>
        <w:t>52289-2019</w:t>
      </w:r>
      <w:r>
        <w:rPr>
          <w:sz w:val="28"/>
          <w:szCs w:val="28"/>
        </w:rPr>
        <w:t xml:space="preserve"> </w:t>
      </w:r>
      <w:r w:rsidRPr="006B16B8">
        <w:rPr>
          <w:sz w:val="28"/>
          <w:szCs w:val="28"/>
        </w:rPr>
        <w:t>на дорогах с двумя и более полосами движения в данном направлении знаки 1.1, 1.2, 1.20</w:t>
      </w:r>
      <w:r w:rsidR="006B16B8">
        <w:rPr>
          <w:sz w:val="28"/>
          <w:szCs w:val="28"/>
        </w:rPr>
        <w:t>.1-1.20.3, 1.25, 2.4, 2.5, 3.24</w:t>
      </w:r>
      <w:r w:rsidRPr="006B16B8">
        <w:rPr>
          <w:sz w:val="28"/>
          <w:szCs w:val="28"/>
        </w:rPr>
        <w:t xml:space="preserve">, установленные справа от проезжей части, должны дублироваться. Знаки 3.20 и 3.22 дублируются на дорогах с одной полосой для движения в каждом направлении, знак 5.15.6 - на дорогах с тремя полосами для движения в обоих направлениях. Дублирующие знаки устанавливают на конструктивно выделенной разделительной полосе. На дорогах с разделительной полосой, выделенной только разметкой 1.2, или без разделительной полосы дублирующие знаки устанавливают: - слева от проезжей части в случаях, когда встречное движение осуществляется по одной или двум полосам; - над проезжей частью в случаях, когда встречное движение осуществляется по трем или более полосам. При необходимости допускается дублировать таким же образом и другие знаки. На дорогах с тремя и более полосами для движения во встречном направлении допускается дублирование временных дорожных знаков на разделительной полосе, выделенной только разметкой 1.2, при ее отсутствии временные знаки дублируются слева от проезжей части. В населенных пунктах на дорогах с двухсторонним движением с двумя и более полосами для </w:t>
      </w:r>
      <w:r w:rsidR="006B16B8">
        <w:rPr>
          <w:sz w:val="28"/>
          <w:szCs w:val="28"/>
        </w:rPr>
        <w:t>движения в данном направлении</w:t>
      </w:r>
      <w:r w:rsidRPr="006B16B8">
        <w:rPr>
          <w:sz w:val="28"/>
          <w:szCs w:val="28"/>
        </w:rPr>
        <w:t>, а также на дорогах с односторонним движением с тремя и более полосами, и вне населенных пунктов на всех дорогах знак 5.19.1 дублируют над проезжей частью. Знак 5.19.1 над проезжей частью размещают не ближе оси крайней правой полосы движения относительно края проезжей части</w:t>
      </w:r>
      <w:r w:rsidR="006B16B8">
        <w:rPr>
          <w:sz w:val="28"/>
          <w:szCs w:val="28"/>
        </w:rPr>
        <w:t>.</w:t>
      </w:r>
    </w:p>
    <w:p w:rsidR="00FD7C0D" w:rsidP="00FD7C0D">
      <w:pPr>
        <w:widowControl w:val="0"/>
        <w:ind w:left="80" w:firstLine="6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силу статьи 3 Федерального закона от 10.12.1995 года №196-ФЗ «О безопасности дорожного движения» основными принципами обеспечения безопасности дорожного движения являются приоритет жизни и здоровья граждан, участвующих в дорожном движении, над экономическими результатами хозяйственной деятельности; соблюдение интересов граждан, общества и государства при обеспечении безопасности дорожного движения.</w:t>
      </w:r>
    </w:p>
    <w:p w:rsidR="00FD7C0D" w:rsidP="00FD7C0D">
      <w:p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вмененного правонарушения подтверждается исследованными судом материалами </w:t>
      </w:r>
      <w:r>
        <w:rPr>
          <w:sz w:val="28"/>
          <w:szCs w:val="28"/>
        </w:rPr>
        <w:t>дела:  протоколом</w:t>
      </w:r>
      <w:r>
        <w:rPr>
          <w:sz w:val="28"/>
          <w:szCs w:val="28"/>
        </w:rPr>
        <w:t xml:space="preserve"> об административном правонарушении; решением о проведении рейда, актом о проведении рейда, определениями о возбуждении дела об административном правонарушении; схемой расположения дорог; </w:t>
      </w:r>
      <w:r>
        <w:rPr>
          <w:sz w:val="28"/>
          <w:szCs w:val="28"/>
        </w:rPr>
        <w:t>фототаблицей</w:t>
      </w:r>
      <w:r>
        <w:rPr>
          <w:sz w:val="28"/>
          <w:szCs w:val="28"/>
        </w:rPr>
        <w:t>; копией постановления мирового судьи; выпиской из ЕГРЮЛ; положением о Департаменте городского хозяйства; р</w:t>
      </w:r>
      <w:r w:rsidR="00B21A91">
        <w:rPr>
          <w:sz w:val="28"/>
          <w:szCs w:val="28"/>
        </w:rPr>
        <w:t>ешением Думы; выпиской из ЕГРЮЛ</w:t>
      </w:r>
      <w:r>
        <w:rPr>
          <w:sz w:val="28"/>
          <w:szCs w:val="28"/>
        </w:rPr>
        <w:t>.</w:t>
      </w:r>
    </w:p>
    <w:p w:rsidR="00FD7C0D" w:rsidP="00FD7C0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положений ст.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FD7C0D" w:rsidP="00FD7C0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ч.1 ст. 2.1 Кодекса Российской Федерации об административных правонарушениях административным правонарушением </w:t>
      </w:r>
      <w:r>
        <w:rPr>
          <w:sz w:val="28"/>
          <w:szCs w:val="28"/>
        </w:rPr>
        <w:t xml:space="preserve">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FD7C0D" w:rsidP="00FD7C0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ч.2 ст. 2.1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FD7C0D" w:rsidP="00FD7C0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в материалах дела доказательства, свидетельствуют о том, что у Департамента городского хозяйства администрации города Ханты-Мансийска имелась возможность для соблюдения правил и норм, за нарушение которых ч.1 ст.12.34 КоАП РФ предусмотрена административная ответственность, но организацией не были приняты все зависящие от нее меры по их соблюдению. </w:t>
      </w:r>
    </w:p>
    <w:p w:rsidR="00FD7C0D" w:rsidP="00FD7C0D">
      <w:pPr>
        <w:shd w:val="clear" w:color="auto" w:fill="FFFFFF"/>
        <w:ind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Доводы, указанные в письменных объяснениях, судья находит несостоятельными.</w:t>
      </w:r>
    </w:p>
    <w:p w:rsidR="00FD7C0D" w:rsidP="00FD7C0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пунктом 6 статьи 13 данного Федерального закона к полномочиям органов местного самоуправления в области использования автомобильных дорог и осуществления дорожной деятельности относится, в частности, осуществление дорожной деятельности в отношении автомобильных дорог местного значения.</w:t>
      </w:r>
    </w:p>
    <w:p w:rsidR="00FD7C0D" w:rsidP="00FD7C0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положению о Департаменте, в его ведение входит организация дорожной деятельности в отношении автомобильных дорог местного значения в границах города Ханты-Мансийска.</w:t>
      </w:r>
    </w:p>
    <w:p w:rsidR="00FD7C0D" w:rsidP="00FD7C0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Субъектами административного правонарушения, предусмотренного </w:t>
      </w:r>
      <w:hyperlink r:id="rId4" w:anchor="/document/12125267/entry/19527" w:history="1">
        <w:r>
          <w:rPr>
            <w:rStyle w:val="Hyperlink"/>
            <w:color w:val="000000"/>
            <w:sz w:val="28"/>
            <w:szCs w:val="28"/>
            <w:u w:val="none"/>
          </w:rPr>
          <w:t>ч. 1 ст. 12.34</w:t>
        </w:r>
      </w:hyperlink>
      <w:r>
        <w:rPr>
          <w:color w:val="000000"/>
          <w:sz w:val="28"/>
          <w:szCs w:val="28"/>
        </w:rPr>
        <w:t xml:space="preserve"> КоАП РФ, являются должностные и юридические лица, ответственные за состояние дорог и дорожных сооружений. Данная норма не содержит указаний на исключительные признаки субъекта административного правонарушения, следовательно, таким субъектом может быть любое должностное или юридическое лицо, ответственное за состояние дорог и дорожных сооружений.</w:t>
      </w:r>
    </w:p>
    <w:p w:rsidR="00FD7C0D" w:rsidP="00FD7C0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Совокупность правовых норм, содержащихся в </w:t>
      </w:r>
      <w:hyperlink r:id="rId4" w:anchor="/document/12157004/entry/306" w:history="1">
        <w:r>
          <w:rPr>
            <w:rStyle w:val="Hyperlink"/>
            <w:color w:val="000000"/>
            <w:sz w:val="28"/>
            <w:szCs w:val="28"/>
            <w:u w:val="none"/>
          </w:rPr>
          <w:t>п. 6 ст. 3</w:t>
        </w:r>
      </w:hyperlink>
      <w:r>
        <w:rPr>
          <w:color w:val="000000"/>
          <w:sz w:val="28"/>
          <w:szCs w:val="28"/>
        </w:rPr>
        <w:t xml:space="preserve"> и </w:t>
      </w:r>
      <w:hyperlink r:id="rId4" w:anchor="/document/12157004/entry/1503" w:history="1">
        <w:r>
          <w:rPr>
            <w:rStyle w:val="Hyperlink"/>
            <w:color w:val="000000"/>
            <w:sz w:val="28"/>
            <w:szCs w:val="28"/>
            <w:u w:val="none"/>
          </w:rPr>
          <w:t>ч. 3 ст. 15</w:t>
        </w:r>
      </w:hyperlink>
      <w:r>
        <w:rPr>
          <w:color w:val="000000"/>
          <w:sz w:val="28"/>
          <w:szCs w:val="28"/>
        </w:rPr>
        <w:t xml:space="preserve"> Федерального закона от 08.11.2007 N257-ФЗ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hyperlink r:id="rId4" w:anchor="/document/10105643/entry/604" w:history="1">
        <w:r>
          <w:rPr>
            <w:rStyle w:val="Hyperlink"/>
            <w:color w:val="000000"/>
            <w:sz w:val="28"/>
            <w:szCs w:val="28"/>
            <w:u w:val="none"/>
          </w:rPr>
          <w:t>п. 4 ст. 6</w:t>
        </w:r>
      </w:hyperlink>
      <w:r>
        <w:rPr>
          <w:color w:val="000000"/>
          <w:sz w:val="28"/>
          <w:szCs w:val="28"/>
        </w:rPr>
        <w:t xml:space="preserve"> Федерального закона от 10.12.1995 N196-ФЗ «О безопасности дорожного движения», </w:t>
      </w:r>
      <w:hyperlink r:id="rId4" w:anchor="/document/186367/entry/160105" w:history="1">
        <w:r>
          <w:rPr>
            <w:rStyle w:val="Hyperlink"/>
            <w:color w:val="000000"/>
            <w:sz w:val="28"/>
            <w:szCs w:val="28"/>
            <w:u w:val="none"/>
          </w:rPr>
          <w:t>п. 5 ч. 1 ст. 16</w:t>
        </w:r>
      </w:hyperlink>
      <w:r>
        <w:rPr>
          <w:color w:val="000000"/>
          <w:sz w:val="28"/>
          <w:szCs w:val="28"/>
        </w:rPr>
        <w:t xml:space="preserve">, </w:t>
      </w:r>
      <w:hyperlink r:id="rId4" w:anchor="/document/186367/entry/3401" w:history="1">
        <w:r>
          <w:rPr>
            <w:rStyle w:val="Hyperlink"/>
            <w:color w:val="000000"/>
            <w:sz w:val="28"/>
            <w:szCs w:val="28"/>
            <w:u w:val="none"/>
          </w:rPr>
          <w:t>ч. 1 ст. 34</w:t>
        </w:r>
      </w:hyperlink>
      <w:r>
        <w:rPr>
          <w:color w:val="000000"/>
          <w:sz w:val="28"/>
          <w:szCs w:val="28"/>
        </w:rPr>
        <w:t xml:space="preserve">, </w:t>
      </w:r>
      <w:hyperlink r:id="rId4" w:anchor="/document/186367/entry/3701" w:history="1">
        <w:r>
          <w:rPr>
            <w:rStyle w:val="Hyperlink"/>
            <w:color w:val="000000"/>
            <w:sz w:val="28"/>
            <w:szCs w:val="28"/>
            <w:u w:val="none"/>
          </w:rPr>
          <w:t>ч. 1 ст. 37</w:t>
        </w:r>
      </w:hyperlink>
      <w:r>
        <w:rPr>
          <w:color w:val="000000"/>
          <w:sz w:val="28"/>
          <w:szCs w:val="28"/>
        </w:rPr>
        <w:t xml:space="preserve"> Федерального закона от 06.10.2003 N131-Ф3 «Об общих принципах организации местного самоуправления в Российской Федерации» позволяет сделать вывод о том, что соответствующий орган местного самоуправления является лицом, ответственным за содержание дорог местного значения.</w:t>
      </w:r>
    </w:p>
    <w:p w:rsidR="00FD7C0D" w:rsidP="00FD7C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вина юридического лица Департамента городского хозяйства администрации города Ханты-Мансийска и его действия по факту несоблюдения требований по обеспечению безопасности дорожного движения нашла свое подтверждение.</w:t>
      </w:r>
    </w:p>
    <w:p w:rsidR="00FD7C0D" w:rsidP="00FD7C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юридического лица Департамента городского хозяйства администрации города Ханты-Мансийска мировой судья квалифицирует по   ч. 1 ст. 12.34 КоАП РФ. </w:t>
      </w:r>
    </w:p>
    <w:p w:rsidR="00FD7C0D" w:rsidP="00FD7C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Смягчающих административную ответственность обстоятельств мировым судьей не установлено.</w:t>
      </w:r>
    </w:p>
    <w:p w:rsidR="00FD7C0D" w:rsidP="00FD7C0D">
      <w:pPr>
        <w:shd w:val="clear" w:color="auto" w:fill="FFFFFF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Отягчающим </w:t>
      </w:r>
      <w:r>
        <w:rPr>
          <w:snapToGrid w:val="0"/>
          <w:sz w:val="28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8"/>
          <w:szCs w:val="26"/>
        </w:rPr>
        <w:t xml:space="preserve">повторное совершение юридическим лицом однородного административного правонарушения, что подтверждается справкой и копиями постановлений. </w:t>
      </w:r>
    </w:p>
    <w:p w:rsidR="00FD7C0D" w:rsidP="00FD7C0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наказания, суд учитывает характер правонарушения и его последствия.</w:t>
      </w:r>
    </w:p>
    <w:p w:rsidR="00FD7C0D" w:rsidP="00FD7C0D">
      <w:pPr>
        <w:ind w:firstLine="567"/>
        <w:jc w:val="both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 xml:space="preserve">Оценивая характер и степень общественной опасности допущенного правонарушения, конкретные обстоятельства его совершения, оснований для признания его малозначительным мировой судья не усматривает. Невыполнение требований </w:t>
      </w:r>
      <w:r>
        <w:rPr>
          <w:sz w:val="28"/>
          <w:szCs w:val="28"/>
        </w:rPr>
        <w:t xml:space="preserve">по обеспечению безопасности дорожного движения </w:t>
      </w:r>
      <w:r>
        <w:rPr>
          <w:rFonts w:ascii="Roboto" w:hAnsi="Roboto"/>
          <w:color w:val="000000"/>
          <w:sz w:val="28"/>
          <w:szCs w:val="28"/>
        </w:rPr>
        <w:t xml:space="preserve">создает угрозу жизни и здоровью граждан, может повлечь за собой тяжкие последствия, поэтому подлежит обязательному исполнению, за его невыполнение предусмотрена строгая административная ответственность, а отсутствие вредных последствий не свидетельствует о </w:t>
      </w:r>
      <w:r>
        <w:rPr>
          <w:rStyle w:val="Emphasis"/>
          <w:rFonts w:ascii="Roboto" w:hAnsi="Roboto"/>
          <w:i w:val="0"/>
          <w:color w:val="000000"/>
          <w:sz w:val="28"/>
          <w:szCs w:val="28"/>
        </w:rPr>
        <w:t>малозначительности</w:t>
      </w:r>
      <w:r>
        <w:rPr>
          <w:rFonts w:ascii="Roboto" w:hAnsi="Roboto"/>
          <w:color w:val="000000"/>
          <w:sz w:val="28"/>
          <w:szCs w:val="28"/>
        </w:rPr>
        <w:t xml:space="preserve"> совершенного </w:t>
      </w:r>
      <w:r>
        <w:rPr>
          <w:rStyle w:val="Emphasis"/>
          <w:rFonts w:ascii="Roboto" w:hAnsi="Roboto"/>
          <w:i w:val="0"/>
          <w:color w:val="000000"/>
          <w:sz w:val="28"/>
          <w:szCs w:val="28"/>
        </w:rPr>
        <w:t>правонарушения</w:t>
      </w:r>
      <w:r>
        <w:rPr>
          <w:rFonts w:ascii="Roboto" w:hAnsi="Roboto"/>
          <w:color w:val="000000"/>
          <w:sz w:val="28"/>
          <w:szCs w:val="28"/>
        </w:rPr>
        <w:t xml:space="preserve">. </w:t>
      </w:r>
    </w:p>
    <w:p w:rsidR="00FD7C0D" w:rsidP="00FD7C0D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FD7C0D" w:rsidP="00FD7C0D">
      <w:pPr>
        <w:ind w:firstLine="567"/>
        <w:jc w:val="center"/>
        <w:rPr>
          <w:snapToGrid w:val="0"/>
          <w:sz w:val="28"/>
          <w:szCs w:val="28"/>
        </w:rPr>
      </w:pPr>
    </w:p>
    <w:p w:rsidR="00FD7C0D" w:rsidP="00FD7C0D">
      <w:pPr>
        <w:ind w:firstLine="567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ПОСТАНОВИЛ:</w:t>
      </w:r>
    </w:p>
    <w:p w:rsidR="00FD7C0D" w:rsidP="00FD7C0D">
      <w:pPr>
        <w:ind w:firstLine="567"/>
        <w:jc w:val="center"/>
        <w:rPr>
          <w:snapToGrid w:val="0"/>
          <w:sz w:val="28"/>
          <w:szCs w:val="28"/>
        </w:rPr>
      </w:pPr>
    </w:p>
    <w:p w:rsidR="00FD7C0D" w:rsidP="00FD7C0D">
      <w:pPr>
        <w:pStyle w:val="BodyText2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Признать юридическое лицо – Департамент городского хозяйства администрации города Ханты-Мансийска виновным в совершении административного правонарушения, предусмотренного ч. 1 ст. 12.34 КоАП РФ и назначить наказание в виде штрафа в размере 300 000 рублей.             </w:t>
      </w:r>
    </w:p>
    <w:p w:rsidR="00FD7C0D" w:rsidP="00FD7C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sz w:val="28"/>
            <w:szCs w:val="28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FD7C0D" w:rsidP="00FD7C0D">
      <w:pPr>
        <w:pStyle w:val="BodyText2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 w:val="28"/>
            <w:szCs w:val="28"/>
          </w:rPr>
          <w:t>части 1</w:t>
        </w:r>
      </w:hyperlink>
      <w:r>
        <w:rPr>
          <w:color w:val="auto"/>
          <w:sz w:val="28"/>
          <w:szCs w:val="28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</w:t>
      </w:r>
      <w:r>
        <w:rPr>
          <w:color w:val="auto"/>
          <w:sz w:val="28"/>
          <w:szCs w:val="28"/>
        </w:rPr>
        <w:t xml:space="preserve">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 w:val="28"/>
            <w:szCs w:val="28"/>
          </w:rPr>
          <w:t>федеральным законодательством</w:t>
        </w:r>
      </w:hyperlink>
      <w:r>
        <w:rPr>
          <w:color w:val="auto"/>
          <w:sz w:val="28"/>
          <w:szCs w:val="28"/>
        </w:rPr>
        <w:t xml:space="preserve"> </w:t>
      </w:r>
    </w:p>
    <w:p w:rsidR="00FD7C0D" w:rsidP="00FD7C0D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FD7C0D" w:rsidP="00FD7C0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r>
        <w:rPr>
          <w:bCs/>
          <w:sz w:val="28"/>
          <w:szCs w:val="28"/>
        </w:rPr>
        <w:t xml:space="preserve">УФК по Ханты-Мансийскому автономному округу - Югре (УМВД России по ХМАО-Югре, МОМВД России «Ханты-Мансийский») ИНН 8601010390 КПП 860101001 ОКТМО 71829000 </w:t>
      </w:r>
      <w:r>
        <w:rPr>
          <w:bCs/>
          <w:sz w:val="28"/>
          <w:szCs w:val="28"/>
        </w:rPr>
        <w:t>кор.счет</w:t>
      </w:r>
      <w:r>
        <w:rPr>
          <w:bCs/>
          <w:sz w:val="28"/>
          <w:szCs w:val="28"/>
        </w:rPr>
        <w:t xml:space="preserve"> 40102810245370000007 счет 03100643000000018700 ОКЦ №8 УГУ Банка России БИК 007162163 КБК 18811601123010001140 УИН </w:t>
      </w:r>
      <w:r w:rsidR="00B21A91">
        <w:rPr>
          <w:bCs/>
          <w:sz w:val="28"/>
          <w:szCs w:val="28"/>
        </w:rPr>
        <w:t>18810486260250001355</w:t>
      </w:r>
      <w:r>
        <w:rPr>
          <w:bCs/>
          <w:sz w:val="28"/>
          <w:szCs w:val="28"/>
        </w:rPr>
        <w:t>.</w:t>
      </w:r>
    </w:p>
    <w:p w:rsidR="00FD7C0D" w:rsidP="00FD7C0D">
      <w:pPr>
        <w:pStyle w:val="BodyText2"/>
        <w:ind w:firstLine="7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color w:val="auto"/>
          <w:sz w:val="28"/>
          <w:szCs w:val="28"/>
        </w:rPr>
        <w:t>через мирового судью</w:t>
      </w:r>
      <w:r>
        <w:rPr>
          <w:color w:val="auto"/>
          <w:sz w:val="28"/>
          <w:szCs w:val="28"/>
        </w:rPr>
        <w:t xml:space="preserve"> в течение 10 дней со дня получения копии постановления.</w:t>
      </w:r>
    </w:p>
    <w:p w:rsidR="00FD7C0D" w:rsidP="00FD7C0D">
      <w:pPr>
        <w:jc w:val="both"/>
        <w:rPr>
          <w:sz w:val="28"/>
          <w:szCs w:val="28"/>
        </w:rPr>
      </w:pPr>
    </w:p>
    <w:p w:rsidR="00FD7C0D" w:rsidP="00FD7C0D">
      <w:pPr>
        <w:pStyle w:val="BodyText2"/>
        <w:rPr>
          <w:color w:val="auto"/>
          <w:sz w:val="28"/>
          <w:szCs w:val="28"/>
        </w:rPr>
      </w:pPr>
    </w:p>
    <w:p w:rsidR="00FD7C0D" w:rsidP="00FD7C0D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О.А. Новокшенова</w:t>
      </w:r>
    </w:p>
    <w:p w:rsidR="00FD7C0D" w:rsidP="00FD7C0D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7E62F2" w:rsidRPr="00FD7C0D" w:rsidP="00FD7C0D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6F"/>
    <w:rsid w:val="005F136F"/>
    <w:rsid w:val="006B16B8"/>
    <w:rsid w:val="007E62F2"/>
    <w:rsid w:val="00B21A91"/>
    <w:rsid w:val="00F64227"/>
    <w:rsid w:val="00FD7C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9A8B9A6-0605-4C59-8E9D-137E82D4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D7C0D"/>
    <w:rPr>
      <w:color w:val="0000FF"/>
      <w:u w:val="single"/>
    </w:rPr>
  </w:style>
  <w:style w:type="paragraph" w:styleId="Title">
    <w:name w:val="Title"/>
    <w:basedOn w:val="Normal"/>
    <w:link w:val="a"/>
    <w:qFormat/>
    <w:rsid w:val="00FD7C0D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FD7C0D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FD7C0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FD7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FD7C0D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FD7C0D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FD7C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X:\assist_2\&#1051;&#1080;&#1079;&#1072;\&#1040;&#1076;&#1084;&#1080;&#1085;&#1080;&#1089;&#1090;&#1088;&#1072;&#1090;&#1080;&#1074;&#1082;&#1072;\&#1053;&#1086;&#1074;&#1072;&#1103;%20&#1087;&#1072;&#1087;&#1082;&#1072;\12.34\05.09%201209%20&#1044;&#1077;&#1087;&#1072;&#1088;&#1090;&#1072;&#1084;&#1077;&#1085;&#1090;%205.19.1%20&#1087;.13%20,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